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D0B" w:rsidRDefault="002B0472">
      <w:pPr>
        <w:pStyle w:val="Heading1"/>
        <w:spacing w:before="78"/>
      </w:pPr>
      <w:r>
        <w:t>Canadian Women's Foundation</w:t>
      </w:r>
    </w:p>
    <w:p w:rsidR="00F02D0B" w:rsidRDefault="002B0472">
      <w:pPr>
        <w:ind w:left="100"/>
        <w:rPr>
          <w:b/>
          <w:sz w:val="24"/>
        </w:rPr>
      </w:pPr>
      <w:r>
        <w:rPr>
          <w:b/>
          <w:sz w:val="24"/>
        </w:rPr>
        <w:t>Stock Donation Acceptance Policy and Guideline</w:t>
      </w:r>
    </w:p>
    <w:p w:rsidR="00F02D0B" w:rsidRDefault="002B0472">
      <w:pPr>
        <w:pStyle w:val="Heading2"/>
        <w:spacing w:before="243" w:line="240" w:lineRule="auto"/>
      </w:pPr>
      <w:r>
        <w:t>Introduction</w:t>
      </w:r>
    </w:p>
    <w:p w:rsidR="00F02D0B" w:rsidRDefault="002B0472" w:rsidP="00B9689C">
      <w:pPr>
        <w:pStyle w:val="BodyText"/>
        <w:spacing w:before="2"/>
        <w:ind w:left="100" w:right="642"/>
        <w:jc w:val="both"/>
      </w:pPr>
      <w:r>
        <w:t>This document applies to the receipt of stock donation through all fund</w:t>
      </w:r>
      <w:r>
        <w:t>raising activities of the Foundation, including: general donation, annual giving; planned gifts; special fund</w:t>
      </w:r>
      <w:r>
        <w:t>raising initiatives; and campaigns.</w:t>
      </w:r>
    </w:p>
    <w:p w:rsidR="00F02D0B" w:rsidRDefault="00F02D0B" w:rsidP="00B9689C">
      <w:pPr>
        <w:pStyle w:val="BodyText"/>
        <w:spacing w:before="1"/>
        <w:jc w:val="both"/>
      </w:pPr>
    </w:p>
    <w:p w:rsidR="00F02D0B" w:rsidRDefault="002B0472" w:rsidP="00B9689C">
      <w:pPr>
        <w:pStyle w:val="BodyText"/>
        <w:ind w:left="100" w:right="94"/>
        <w:jc w:val="both"/>
      </w:pPr>
      <w:r>
        <w:t>This guideline may be altered from ti</w:t>
      </w:r>
      <w:r>
        <w:t>me-to-time in accordance with changes in income tax legislation, CRA policy and/or guidelines related to charitable giving, or Foundation policy.</w:t>
      </w:r>
    </w:p>
    <w:p w:rsidR="00F02D0B" w:rsidRDefault="00F02D0B" w:rsidP="00B9689C">
      <w:pPr>
        <w:pStyle w:val="BodyText"/>
        <w:jc w:val="both"/>
      </w:pPr>
    </w:p>
    <w:p w:rsidR="00F02D0B" w:rsidRDefault="002B0472">
      <w:pPr>
        <w:pStyle w:val="Heading2"/>
        <w:spacing w:before="1"/>
      </w:pPr>
      <w:r>
        <w:t>Acceptance of Shares</w:t>
      </w:r>
    </w:p>
    <w:p w:rsidR="00F02D0B" w:rsidRDefault="002B0472" w:rsidP="00B9689C">
      <w:pPr>
        <w:ind w:left="100" w:right="94"/>
        <w:jc w:val="both"/>
        <w:rPr>
          <w:b/>
          <w:sz w:val="20"/>
        </w:rPr>
      </w:pPr>
      <w:r>
        <w:rPr>
          <w:sz w:val="20"/>
        </w:rPr>
        <w:t xml:space="preserve">CWF shall </w:t>
      </w:r>
      <w:proofErr w:type="gramStart"/>
      <w:r>
        <w:rPr>
          <w:sz w:val="20"/>
        </w:rPr>
        <w:t>at all times</w:t>
      </w:r>
      <w:proofErr w:type="gramEnd"/>
      <w:r>
        <w:rPr>
          <w:sz w:val="20"/>
        </w:rPr>
        <w:t xml:space="preserve"> reserve the right to accept or decline a donation of shares.  </w:t>
      </w:r>
      <w:proofErr w:type="gramStart"/>
      <w:r>
        <w:rPr>
          <w:sz w:val="20"/>
        </w:rPr>
        <w:t xml:space="preserve">As </w:t>
      </w:r>
      <w:r>
        <w:rPr>
          <w:sz w:val="20"/>
        </w:rPr>
        <w:t>a general rule</w:t>
      </w:r>
      <w:proofErr w:type="gramEnd"/>
      <w:r>
        <w:rPr>
          <w:sz w:val="20"/>
        </w:rPr>
        <w:t xml:space="preserve">, the Foundation will only accept gifts of publicly traded stocks. </w:t>
      </w:r>
      <w:r>
        <w:rPr>
          <w:b/>
          <w:sz w:val="20"/>
        </w:rPr>
        <w:t>The value of such a donation is determined by the value of trading on the date of receipt of donation.</w:t>
      </w:r>
    </w:p>
    <w:p w:rsidR="00F02D0B" w:rsidRDefault="00F02D0B" w:rsidP="00B9689C">
      <w:pPr>
        <w:pStyle w:val="BodyText"/>
        <w:spacing w:before="1"/>
        <w:jc w:val="both"/>
        <w:rPr>
          <w:b/>
        </w:rPr>
      </w:pPr>
    </w:p>
    <w:p w:rsidR="00F02D0B" w:rsidRDefault="002B0472">
      <w:pPr>
        <w:pStyle w:val="Heading2"/>
        <w:spacing w:before="1"/>
      </w:pPr>
      <w:r>
        <w:t>Tax Advice</w:t>
      </w:r>
    </w:p>
    <w:p w:rsidR="00F02D0B" w:rsidRDefault="002B0472" w:rsidP="00B9689C">
      <w:pPr>
        <w:pStyle w:val="BodyText"/>
        <w:ind w:left="100" w:right="326"/>
        <w:jc w:val="both"/>
      </w:pPr>
      <w:r>
        <w:t>CWF will only provide reference on tax benefits. For specifi</w:t>
      </w:r>
      <w:r>
        <w:t>c tax advice on stock donations, donors should consult their advisors on the rules governing deductibility of these gifts.</w:t>
      </w:r>
    </w:p>
    <w:p w:rsidR="00F02D0B" w:rsidRDefault="00F02D0B">
      <w:pPr>
        <w:pStyle w:val="BodyText"/>
        <w:spacing w:before="1"/>
      </w:pPr>
    </w:p>
    <w:p w:rsidR="00F02D0B" w:rsidRDefault="002B0472">
      <w:pPr>
        <w:pStyle w:val="Heading2"/>
      </w:pPr>
      <w:r>
        <w:t>Stock Disposition Policy</w:t>
      </w:r>
    </w:p>
    <w:p w:rsidR="00F02D0B" w:rsidRDefault="002B0472" w:rsidP="00B9689C">
      <w:pPr>
        <w:pStyle w:val="BodyText"/>
        <w:ind w:left="100" w:right="109"/>
        <w:jc w:val="both"/>
      </w:pPr>
      <w:r>
        <w:t>CWF Board decided and enforced the rule that all the stocks and securities CWF receives from the donors wil</w:t>
      </w:r>
      <w:r>
        <w:t>l be sold upon completion of the stock transfer WITHOUT exception.</w:t>
      </w:r>
    </w:p>
    <w:p w:rsidR="00F02D0B" w:rsidRDefault="00F02D0B">
      <w:pPr>
        <w:pStyle w:val="BodyText"/>
        <w:spacing w:before="11"/>
        <w:rPr>
          <w:sz w:val="19"/>
        </w:rPr>
      </w:pPr>
    </w:p>
    <w:p w:rsidR="00F02D0B" w:rsidRDefault="002B0472">
      <w:pPr>
        <w:pStyle w:val="Heading2"/>
        <w:spacing w:line="240" w:lineRule="auto"/>
      </w:pPr>
      <w:r>
        <w:t>Procedure</w:t>
      </w:r>
    </w:p>
    <w:p w:rsidR="00F02D0B" w:rsidRDefault="00F02D0B">
      <w:pPr>
        <w:pStyle w:val="BodyText"/>
        <w:rPr>
          <w:b/>
        </w:rPr>
      </w:pP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ind w:right="407"/>
        <w:jc w:val="both"/>
        <w:rPr>
          <w:sz w:val="20"/>
        </w:rPr>
      </w:pPr>
      <w:r>
        <w:rPr>
          <w:sz w:val="20"/>
        </w:rPr>
        <w:t>Authorization – Donor to complete the attached transfer form and forward it to his/her brokerage firm as well as to the Foundation by fax at 416-365-1745, attention Olga Svystun</w:t>
      </w:r>
      <w:r w:rsidR="00F92CAC">
        <w:rPr>
          <w:sz w:val="20"/>
        </w:rPr>
        <w:t xml:space="preserve"> (</w:t>
      </w:r>
      <w:r w:rsidR="00F92CAC">
        <w:rPr>
          <w:sz w:val="20"/>
        </w:rPr>
        <w:t>Senior Director of Finance and Operations</w:t>
      </w:r>
      <w:r w:rsidR="00F92CAC">
        <w:rPr>
          <w:sz w:val="20"/>
        </w:rPr>
        <w:t>)</w:t>
      </w:r>
      <w:r>
        <w:rPr>
          <w:sz w:val="20"/>
        </w:rPr>
        <w:t>, or by email at</w:t>
      </w:r>
      <w:r>
        <w:rPr>
          <w:color w:val="0000FF"/>
          <w:spacing w:val="-22"/>
          <w:sz w:val="20"/>
        </w:rPr>
        <w:t xml:space="preserve"> </w:t>
      </w:r>
      <w:hyperlink r:id="rId5">
        <w:r>
          <w:rPr>
            <w:color w:val="0000FF"/>
            <w:sz w:val="20"/>
            <w:u w:val="single" w:color="0000FF"/>
          </w:rPr>
          <w:t>osvystun@</w:t>
        </w:r>
        <w:r>
          <w:rPr>
            <w:color w:val="0000FF"/>
            <w:sz w:val="20"/>
            <w:u w:val="single" w:color="0000FF"/>
          </w:rPr>
          <w:t>canadianwomen.org</w:t>
        </w:r>
      </w:hyperlink>
      <w:r>
        <w:rPr>
          <w:sz w:val="20"/>
        </w:rPr>
        <w:t>.</w:t>
      </w: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spacing w:before="1" w:line="243" w:lineRule="exact"/>
        <w:jc w:val="both"/>
        <w:rPr>
          <w:sz w:val="20"/>
        </w:rPr>
      </w:pPr>
      <w:r>
        <w:rPr>
          <w:sz w:val="20"/>
        </w:rPr>
        <w:t xml:space="preserve">Notification – the </w:t>
      </w:r>
      <w:r w:rsidR="00B9689C">
        <w:rPr>
          <w:sz w:val="20"/>
        </w:rPr>
        <w:t>Senior Director of Finance and Operations</w:t>
      </w:r>
      <w:r>
        <w:rPr>
          <w:sz w:val="20"/>
        </w:rPr>
        <w:t xml:space="preserve"> will advise CWF brokerage firm about the</w:t>
      </w:r>
      <w:r>
        <w:rPr>
          <w:spacing w:val="-29"/>
          <w:sz w:val="20"/>
        </w:rPr>
        <w:t xml:space="preserve"> </w:t>
      </w:r>
      <w:r>
        <w:rPr>
          <w:sz w:val="20"/>
        </w:rPr>
        <w:t>transfer.</w:t>
      </w: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ind w:right="661"/>
        <w:jc w:val="both"/>
        <w:rPr>
          <w:sz w:val="20"/>
        </w:rPr>
      </w:pPr>
      <w:r>
        <w:rPr>
          <w:sz w:val="20"/>
        </w:rPr>
        <w:t>Confirmation - As soon as the transaction of stock transfer is completed,</w:t>
      </w:r>
      <w:r>
        <w:rPr>
          <w:spacing w:val="-29"/>
          <w:sz w:val="20"/>
        </w:rPr>
        <w:t xml:space="preserve"> </w:t>
      </w:r>
      <w:r>
        <w:rPr>
          <w:sz w:val="20"/>
        </w:rPr>
        <w:t xml:space="preserve">the CWF’s brokerage firm will inform the </w:t>
      </w:r>
      <w:r w:rsidR="00B9689C">
        <w:rPr>
          <w:sz w:val="20"/>
        </w:rPr>
        <w:t>Senior Director of Finance and Operations</w:t>
      </w:r>
      <w:r>
        <w:rPr>
          <w:sz w:val="20"/>
        </w:rPr>
        <w:t xml:space="preserve"> by</w:t>
      </w:r>
      <w:r>
        <w:rPr>
          <w:spacing w:val="-18"/>
          <w:sz w:val="20"/>
        </w:rPr>
        <w:t xml:space="preserve"> </w:t>
      </w:r>
      <w:r>
        <w:rPr>
          <w:sz w:val="20"/>
        </w:rPr>
        <w:t>email.</w:t>
      </w: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spacing w:before="2"/>
        <w:ind w:right="174"/>
        <w:jc w:val="both"/>
        <w:rPr>
          <w:sz w:val="20"/>
        </w:rPr>
      </w:pPr>
      <w:r>
        <w:rPr>
          <w:sz w:val="20"/>
        </w:rPr>
        <w:t>Disposition - CWF au</w:t>
      </w:r>
      <w:r>
        <w:rPr>
          <w:sz w:val="20"/>
        </w:rPr>
        <w:t>thorized officers will instruct the CWF brokerage firm to sell the stocks on the very same day or before the end of the next trading day just</w:t>
      </w:r>
      <w:r>
        <w:rPr>
          <w:spacing w:val="-33"/>
          <w:sz w:val="20"/>
        </w:rPr>
        <w:t xml:space="preserve"> </w:t>
      </w:r>
      <w:r>
        <w:rPr>
          <w:sz w:val="20"/>
        </w:rPr>
        <w:t>in case the transfer comes in late of the</w:t>
      </w:r>
      <w:r>
        <w:rPr>
          <w:spacing w:val="-22"/>
          <w:sz w:val="20"/>
        </w:rPr>
        <w:t xml:space="preserve"> </w:t>
      </w:r>
      <w:r>
        <w:rPr>
          <w:sz w:val="20"/>
        </w:rPr>
        <w:t>day.</w:t>
      </w: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ind w:right="464"/>
        <w:jc w:val="both"/>
        <w:rPr>
          <w:sz w:val="20"/>
        </w:rPr>
      </w:pPr>
      <w:r>
        <w:rPr>
          <w:sz w:val="20"/>
        </w:rPr>
        <w:t xml:space="preserve">Recording – the </w:t>
      </w:r>
      <w:r w:rsidR="00B9689C">
        <w:rPr>
          <w:sz w:val="20"/>
        </w:rPr>
        <w:t>Senior Director of Finance and Operations</w:t>
      </w:r>
      <w:r>
        <w:rPr>
          <w:sz w:val="20"/>
        </w:rPr>
        <w:t xml:space="preserve"> will record the transaction on the CWF s</w:t>
      </w:r>
      <w:r>
        <w:rPr>
          <w:sz w:val="20"/>
        </w:rPr>
        <w:t xml:space="preserve">ecurities schedule. Upon receipt of confirmation notice of the sale (normally within one week of the transfer) from the Brokerage firm, the </w:t>
      </w:r>
      <w:r w:rsidR="00B9689C">
        <w:rPr>
          <w:sz w:val="20"/>
        </w:rPr>
        <w:t>Senior Director of Finance and Operations</w:t>
      </w:r>
      <w:r>
        <w:rPr>
          <w:sz w:val="20"/>
        </w:rPr>
        <w:t xml:space="preserve"> will advise the </w:t>
      </w:r>
      <w:r w:rsidR="00F92CAC">
        <w:rPr>
          <w:sz w:val="20"/>
        </w:rPr>
        <w:t xml:space="preserve">Accountant </w:t>
      </w:r>
      <w:r>
        <w:rPr>
          <w:sz w:val="20"/>
        </w:rPr>
        <w:t>and Grant Administrator to book the account</w:t>
      </w:r>
      <w:r>
        <w:rPr>
          <w:spacing w:val="-14"/>
          <w:sz w:val="20"/>
        </w:rPr>
        <w:t xml:space="preserve"> </w:t>
      </w:r>
      <w:r>
        <w:rPr>
          <w:sz w:val="20"/>
        </w:rPr>
        <w:t>accordingly.</w:t>
      </w:r>
    </w:p>
    <w:p w:rsidR="00F02D0B" w:rsidRDefault="002B0472" w:rsidP="00B9689C">
      <w:pPr>
        <w:pStyle w:val="ListParagraph"/>
        <w:numPr>
          <w:ilvl w:val="0"/>
          <w:numId w:val="1"/>
        </w:numPr>
        <w:tabs>
          <w:tab w:val="left" w:pos="461"/>
        </w:tabs>
        <w:ind w:right="503"/>
        <w:jc w:val="both"/>
        <w:rPr>
          <w:sz w:val="20"/>
        </w:rPr>
      </w:pPr>
      <w:r>
        <w:rPr>
          <w:sz w:val="20"/>
        </w:rPr>
        <w:t>Receipting – Raiser’s Ed</w:t>
      </w:r>
      <w:r>
        <w:rPr>
          <w:sz w:val="20"/>
        </w:rPr>
        <w:t>ge Administrator will issue receipt with name,</w:t>
      </w:r>
      <w:r>
        <w:rPr>
          <w:spacing w:val="-33"/>
          <w:sz w:val="20"/>
        </w:rPr>
        <w:t xml:space="preserve"> </w:t>
      </w:r>
      <w:r>
        <w:rPr>
          <w:sz w:val="20"/>
        </w:rPr>
        <w:t>number and value of shares and distribute it to the</w:t>
      </w:r>
      <w:r>
        <w:rPr>
          <w:spacing w:val="-19"/>
          <w:sz w:val="20"/>
        </w:rPr>
        <w:t xml:space="preserve"> </w:t>
      </w:r>
      <w:r>
        <w:rPr>
          <w:sz w:val="20"/>
        </w:rPr>
        <w:t>donor.</w:t>
      </w:r>
    </w:p>
    <w:p w:rsidR="00F02D0B" w:rsidRDefault="00F02D0B">
      <w:pPr>
        <w:rPr>
          <w:sz w:val="20"/>
        </w:rPr>
        <w:sectPr w:rsidR="00F02D0B">
          <w:type w:val="continuous"/>
          <w:pgSz w:w="12240" w:h="15840"/>
          <w:pgMar w:top="640" w:right="1700" w:bottom="280" w:left="1700" w:header="720" w:footer="720" w:gutter="0"/>
          <w:cols w:space="720"/>
        </w:sectPr>
      </w:pPr>
    </w:p>
    <w:p w:rsidR="00F02D0B" w:rsidRDefault="00F02D0B">
      <w:pPr>
        <w:pStyle w:val="BodyText"/>
      </w:pPr>
    </w:p>
    <w:p w:rsidR="00F02D0B" w:rsidRDefault="00F02D0B">
      <w:pPr>
        <w:pStyle w:val="BodyText"/>
      </w:pPr>
    </w:p>
    <w:p w:rsidR="00F02D0B" w:rsidRDefault="00F02D0B">
      <w:pPr>
        <w:pStyle w:val="BodyText"/>
        <w:rPr>
          <w:sz w:val="28"/>
        </w:rPr>
      </w:pPr>
    </w:p>
    <w:p w:rsidR="00F02D0B" w:rsidRDefault="002B0472">
      <w:pPr>
        <w:pStyle w:val="BodyText"/>
        <w:tabs>
          <w:tab w:val="left" w:pos="7216"/>
        </w:tabs>
        <w:spacing w:before="99"/>
        <w:ind w:left="2832"/>
      </w:pPr>
      <w:r>
        <w:rPr>
          <w:noProof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695325</wp:posOffset>
            </wp:positionH>
            <wp:positionV relativeFrom="paragraph">
              <wp:posOffset>-528399</wp:posOffset>
            </wp:positionV>
            <wp:extent cx="1609725" cy="120967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Date: </w:t>
      </w:r>
      <w:r>
        <w:rPr>
          <w:spacing w:val="17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F02D0B" w:rsidRDefault="00F02D0B">
      <w:pPr>
        <w:pStyle w:val="BodyText"/>
        <w:spacing w:before="11"/>
        <w:rPr>
          <w:sz w:val="17"/>
        </w:rPr>
      </w:pPr>
    </w:p>
    <w:p w:rsidR="00F02D0B" w:rsidRDefault="002B0472">
      <w:pPr>
        <w:ind w:left="2832" w:right="395"/>
        <w:rPr>
          <w:sz w:val="18"/>
        </w:rPr>
      </w:pPr>
      <w:r>
        <w:rPr>
          <w:b/>
          <w:sz w:val="18"/>
          <w:u w:val="single"/>
        </w:rPr>
        <w:t>Donor Contact Information</w:t>
      </w:r>
      <w:r>
        <w:rPr>
          <w:b/>
          <w:sz w:val="18"/>
        </w:rPr>
        <w:t xml:space="preserve"> </w:t>
      </w:r>
      <w:r>
        <w:rPr>
          <w:sz w:val="18"/>
        </w:rPr>
        <w:t>(please note that same information will appear on the receipt):</w:t>
      </w:r>
    </w:p>
    <w:p w:rsidR="00F02D0B" w:rsidRDefault="00F02D0B">
      <w:pPr>
        <w:pStyle w:val="BodyText"/>
        <w:spacing w:before="11"/>
        <w:rPr>
          <w:sz w:val="17"/>
        </w:rPr>
      </w:pP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7382"/>
      </w:tblGrid>
      <w:tr w:rsidR="00F02D0B">
        <w:trPr>
          <w:trHeight w:val="420"/>
        </w:trPr>
        <w:tc>
          <w:tcPr>
            <w:tcW w:w="1104" w:type="dxa"/>
          </w:tcPr>
          <w:p w:rsidR="00F02D0B" w:rsidRDefault="002B047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D0B">
        <w:trPr>
          <w:trHeight w:val="640"/>
        </w:trPr>
        <w:tc>
          <w:tcPr>
            <w:tcW w:w="1104" w:type="dxa"/>
          </w:tcPr>
          <w:p w:rsidR="00F02D0B" w:rsidRDefault="002B047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D0B">
        <w:trPr>
          <w:trHeight w:val="320"/>
        </w:trPr>
        <w:tc>
          <w:tcPr>
            <w:tcW w:w="1104" w:type="dxa"/>
          </w:tcPr>
          <w:p w:rsidR="00F02D0B" w:rsidRDefault="002B047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02D0B" w:rsidRDefault="00F02D0B">
      <w:pPr>
        <w:pStyle w:val="BodyText"/>
        <w:spacing w:before="1"/>
        <w:rPr>
          <w:sz w:val="18"/>
        </w:rPr>
      </w:pPr>
    </w:p>
    <w:p w:rsidR="00F02D0B" w:rsidRDefault="002B0472">
      <w:pPr>
        <w:ind w:left="820"/>
        <w:rPr>
          <w:b/>
          <w:sz w:val="18"/>
        </w:rPr>
      </w:pPr>
      <w:r>
        <w:rPr>
          <w:rFonts w:ascii="Times New Roman" w:hAnsi="Times New Roman"/>
          <w:sz w:val="18"/>
          <w:u w:val="single"/>
        </w:rPr>
        <w:t xml:space="preserve"> </w:t>
      </w:r>
      <w:r>
        <w:rPr>
          <w:b/>
          <w:sz w:val="18"/>
          <w:u w:val="single"/>
        </w:rPr>
        <w:t>Donor’s Broker Contact Information:</w:t>
      </w:r>
    </w:p>
    <w:p w:rsidR="00F02D0B" w:rsidRDefault="00F02D0B">
      <w:pPr>
        <w:pStyle w:val="BodyText"/>
        <w:spacing w:before="9" w:after="1"/>
        <w:rPr>
          <w:b/>
          <w:sz w:val="17"/>
        </w:rPr>
      </w:pP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4"/>
        <w:gridCol w:w="7382"/>
      </w:tblGrid>
      <w:tr w:rsidR="00F02D0B">
        <w:trPr>
          <w:trHeight w:val="420"/>
        </w:trPr>
        <w:tc>
          <w:tcPr>
            <w:tcW w:w="1104" w:type="dxa"/>
          </w:tcPr>
          <w:p w:rsidR="00F02D0B" w:rsidRDefault="002B0472">
            <w:pPr>
              <w:pStyle w:val="TableParagraph"/>
              <w:spacing w:before="1"/>
              <w:rPr>
                <w:b/>
                <w:sz w:val="18"/>
              </w:rPr>
            </w:pPr>
            <w:r>
              <w:rPr>
                <w:b/>
                <w:sz w:val="18"/>
              </w:rPr>
              <w:t>Name: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D0B">
        <w:trPr>
          <w:trHeight w:val="320"/>
        </w:trPr>
        <w:tc>
          <w:tcPr>
            <w:tcW w:w="1104" w:type="dxa"/>
          </w:tcPr>
          <w:p w:rsidR="00F02D0B" w:rsidRDefault="002B047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Firm: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D0B">
        <w:trPr>
          <w:trHeight w:val="640"/>
        </w:trPr>
        <w:tc>
          <w:tcPr>
            <w:tcW w:w="1104" w:type="dxa"/>
          </w:tcPr>
          <w:p w:rsidR="00F02D0B" w:rsidRDefault="002B047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Address: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F02D0B">
        <w:trPr>
          <w:trHeight w:val="320"/>
        </w:trPr>
        <w:tc>
          <w:tcPr>
            <w:tcW w:w="1104" w:type="dxa"/>
          </w:tcPr>
          <w:p w:rsidR="00F02D0B" w:rsidRDefault="002B0472">
            <w:pPr>
              <w:pStyle w:val="TableParagraph"/>
              <w:spacing w:line="21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Phone:</w:t>
            </w:r>
          </w:p>
        </w:tc>
        <w:tc>
          <w:tcPr>
            <w:tcW w:w="7382" w:type="dxa"/>
          </w:tcPr>
          <w:p w:rsidR="00F02D0B" w:rsidRDefault="00F02D0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F02D0B" w:rsidRDefault="00F02D0B">
      <w:pPr>
        <w:pStyle w:val="BodyText"/>
        <w:spacing w:before="1"/>
        <w:rPr>
          <w:b/>
          <w:sz w:val="18"/>
        </w:rPr>
      </w:pPr>
    </w:p>
    <w:p w:rsidR="00F02D0B" w:rsidRDefault="002B0472">
      <w:pPr>
        <w:spacing w:after="19"/>
        <w:ind w:left="820"/>
        <w:rPr>
          <w:b/>
          <w:sz w:val="18"/>
        </w:rPr>
      </w:pPr>
      <w:r>
        <w:rPr>
          <w:b/>
          <w:sz w:val="18"/>
        </w:rPr>
        <w:t>Re: Letter of Release for a Securities Transfer to the Canadian Women’s Foundation</w:t>
      </w:r>
    </w:p>
    <w:p w:rsidR="00F02D0B" w:rsidRDefault="001C05CA">
      <w:pPr>
        <w:pStyle w:val="BodyText"/>
        <w:spacing w:line="20" w:lineRule="exact"/>
        <w:ind w:left="786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530850" cy="6350"/>
                <wp:effectExtent l="6985" t="9525" r="5715" b="317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0" cy="6350"/>
                          <a:chOff x="0" y="0"/>
                          <a:chExt cx="8710" cy="10"/>
                        </a:xfrm>
                      </wpg:grpSpPr>
                      <wps:wsp>
                        <wps:cNvPr id="3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" y="5"/>
                            <a:ext cx="87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FAF002" id="Group 2" o:spid="_x0000_s1026" style="width:435.5pt;height:.5pt;mso-position-horizontal-relative:char;mso-position-vertical-relative:line" coordsize="871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">
                <v:line id="Line 3" o:spid="_x0000_s1027" style="position:absolute;visibility:visible;mso-wrap-style:square" from="5,5" to="8705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ffwgAAANoAAAAPAAAAZHJzL2Rvd25yZXYueG1sRI9BawIx&#10;FITvBf9DeEJvNWsL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AXDOff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:rsidR="00F02D0B" w:rsidRDefault="00F02D0B">
      <w:pPr>
        <w:pStyle w:val="BodyText"/>
        <w:rPr>
          <w:b/>
          <w:sz w:val="9"/>
        </w:rPr>
      </w:pPr>
    </w:p>
    <w:p w:rsidR="00F02D0B" w:rsidRDefault="002B0472">
      <w:pPr>
        <w:pStyle w:val="BodyText"/>
        <w:spacing w:before="99"/>
        <w:ind w:left="820"/>
      </w:pPr>
      <w:r>
        <w:t>Please accept this letter as your instructions to transfer the following securities:</w:t>
      </w:r>
    </w:p>
    <w:p w:rsidR="00F02D0B" w:rsidRDefault="00F02D0B">
      <w:pPr>
        <w:pStyle w:val="BodyText"/>
      </w:pPr>
    </w:p>
    <w:tbl>
      <w:tblPr>
        <w:tblW w:w="0" w:type="auto"/>
        <w:tblInd w:w="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3420"/>
        <w:gridCol w:w="2953"/>
      </w:tblGrid>
      <w:tr w:rsidR="00F02D0B">
        <w:trPr>
          <w:trHeight w:val="720"/>
        </w:trPr>
        <w:tc>
          <w:tcPr>
            <w:tcW w:w="2089" w:type="dxa"/>
          </w:tcPr>
          <w:p w:rsidR="00F02D0B" w:rsidRDefault="002B0472">
            <w:pPr>
              <w:pStyle w:val="TableParagraph"/>
              <w:spacing w:line="241" w:lineRule="exact"/>
              <w:rPr>
                <w:sz w:val="20"/>
              </w:rPr>
            </w:pPr>
            <w:r>
              <w:rPr>
                <w:sz w:val="20"/>
              </w:rPr>
              <w:t>Number of shares</w:t>
            </w:r>
          </w:p>
        </w:tc>
        <w:tc>
          <w:tcPr>
            <w:tcW w:w="3420" w:type="dxa"/>
          </w:tcPr>
          <w:p w:rsidR="00F02D0B" w:rsidRDefault="002B0472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Name of shares</w:t>
            </w:r>
          </w:p>
        </w:tc>
        <w:tc>
          <w:tcPr>
            <w:tcW w:w="2953" w:type="dxa"/>
          </w:tcPr>
          <w:p w:rsidR="00F02D0B" w:rsidRDefault="002B0472">
            <w:pPr>
              <w:pStyle w:val="TableParagraph"/>
              <w:spacing w:line="241" w:lineRule="exact"/>
              <w:ind w:left="102"/>
              <w:rPr>
                <w:sz w:val="20"/>
              </w:rPr>
            </w:pPr>
            <w:r>
              <w:rPr>
                <w:sz w:val="20"/>
              </w:rPr>
              <w:t>CUSIP number</w:t>
            </w:r>
          </w:p>
        </w:tc>
      </w:tr>
    </w:tbl>
    <w:p w:rsidR="00F02D0B" w:rsidRDefault="00F02D0B">
      <w:pPr>
        <w:pStyle w:val="BodyText"/>
        <w:spacing w:before="2"/>
        <w:rPr>
          <w:sz w:val="23"/>
        </w:rPr>
      </w:pPr>
    </w:p>
    <w:p w:rsidR="00F02D0B" w:rsidRDefault="002B0472">
      <w:pPr>
        <w:pStyle w:val="BodyText"/>
        <w:tabs>
          <w:tab w:val="left" w:pos="8084"/>
        </w:tabs>
        <w:spacing w:line="295" w:lineRule="auto"/>
        <w:ind w:left="820" w:right="303"/>
      </w:pPr>
      <w:r>
        <w:t>from my</w:t>
      </w:r>
      <w:r>
        <w:rPr>
          <w:spacing w:val="-4"/>
        </w:rPr>
        <w:t xml:space="preserve"> </w:t>
      </w:r>
      <w:r>
        <w:t>account</w:t>
      </w:r>
      <w:r>
        <w:rPr>
          <w:spacing w:val="-2"/>
        </w:rPr>
        <w:t xml:space="preserve"> </w:t>
      </w:r>
      <w:r>
        <w:t>number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7"/>
        </w:rPr>
        <w:t xml:space="preserve"> </w:t>
      </w:r>
      <w:r>
        <w:t>Canadian</w:t>
      </w:r>
      <w:r>
        <w:rPr>
          <w:w w:val="99"/>
        </w:rPr>
        <w:t xml:space="preserve"> </w:t>
      </w:r>
      <w:r>
        <w:t>Women’s Foundation at the brokerage listed below. It is important that this transaction is completed no</w:t>
      </w:r>
      <w:r>
        <w:rPr>
          <w:spacing w:val="-10"/>
        </w:rPr>
        <w:t xml:space="preserve"> </w:t>
      </w:r>
      <w:r>
        <w:t>later</w:t>
      </w:r>
      <w:r>
        <w:rPr>
          <w:spacing w:val="-4"/>
        </w:rPr>
        <w:t xml:space="preserve"> </w:t>
      </w:r>
      <w:r>
        <w:t>than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(date).</w:t>
      </w:r>
    </w:p>
    <w:p w:rsidR="00F02D0B" w:rsidRDefault="00F02D0B">
      <w:pPr>
        <w:pStyle w:val="BodyText"/>
        <w:spacing w:before="10"/>
        <w:rPr>
          <w:sz w:val="28"/>
        </w:rPr>
      </w:pPr>
    </w:p>
    <w:p w:rsidR="00F02D0B" w:rsidRDefault="002B0472">
      <w:pPr>
        <w:pStyle w:val="BodyText"/>
        <w:tabs>
          <w:tab w:val="left" w:pos="2980"/>
          <w:tab w:val="left" w:pos="9327"/>
        </w:tabs>
        <w:spacing w:before="99"/>
        <w:ind w:left="820"/>
        <w:rPr>
          <w:rFonts w:ascii="Times New Roman" w:hAnsi="Times New Roman"/>
        </w:rPr>
      </w:pPr>
      <w:r>
        <w:t>Donor’s</w:t>
      </w:r>
      <w:r>
        <w:rPr>
          <w:spacing w:val="-6"/>
        </w:rPr>
        <w:t xml:space="preserve"> </w:t>
      </w:r>
      <w:r>
        <w:t>Signature:</w:t>
      </w:r>
      <w:r>
        <w:tab/>
      </w:r>
      <w:r>
        <w:rPr>
          <w:rFonts w:ascii="Times New Roman" w:hAnsi="Times New Roman"/>
          <w:w w:val="99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F02D0B" w:rsidRDefault="00F02D0B">
      <w:pPr>
        <w:pStyle w:val="BodyText"/>
        <w:spacing w:before="10"/>
        <w:rPr>
          <w:rFonts w:ascii="Times New Roman"/>
          <w:sz w:val="18"/>
        </w:rPr>
      </w:pPr>
    </w:p>
    <w:p w:rsidR="00F02D0B" w:rsidRDefault="002B0472">
      <w:pPr>
        <w:pStyle w:val="Heading2"/>
        <w:ind w:left="2274" w:right="1598"/>
        <w:jc w:val="center"/>
      </w:pPr>
      <w:r>
        <w:t>BMO Nesbitt Burns</w:t>
      </w:r>
    </w:p>
    <w:p w:rsidR="00F02D0B" w:rsidRDefault="002B0472">
      <w:pPr>
        <w:ind w:left="2275" w:right="1598"/>
        <w:jc w:val="center"/>
        <w:rPr>
          <w:b/>
          <w:sz w:val="20"/>
        </w:rPr>
      </w:pPr>
      <w:r>
        <w:rPr>
          <w:b/>
          <w:sz w:val="20"/>
        </w:rPr>
        <w:t>For the Account of: Canadian Women’s Foundation Account number: 660-00886-18</w:t>
      </w:r>
    </w:p>
    <w:p w:rsidR="00F92CAC" w:rsidRDefault="002B0472">
      <w:pPr>
        <w:spacing w:line="242" w:lineRule="exact"/>
        <w:ind w:left="1197" w:right="517"/>
        <w:jc w:val="center"/>
        <w:rPr>
          <w:b/>
          <w:sz w:val="20"/>
        </w:rPr>
      </w:pPr>
      <w:r>
        <w:rPr>
          <w:b/>
          <w:sz w:val="20"/>
        </w:rPr>
        <w:t>Contact Perso</w:t>
      </w:r>
      <w:r>
        <w:rPr>
          <w:b/>
          <w:sz w:val="20"/>
        </w:rPr>
        <w:t>n: Douglas Jones</w:t>
      </w:r>
    </w:p>
    <w:p w:rsidR="00F92CAC" w:rsidRDefault="00F92CAC">
      <w:pPr>
        <w:spacing w:line="242" w:lineRule="exact"/>
        <w:ind w:left="1197" w:right="517"/>
        <w:jc w:val="center"/>
        <w:rPr>
          <w:color w:val="1F497D"/>
          <w:lang w:val="en-CA"/>
        </w:rPr>
      </w:pPr>
      <w:hyperlink r:id="rId7" w:history="1">
        <w:r>
          <w:rPr>
            <w:rStyle w:val="Hyperlink"/>
            <w:lang w:val="en-CA"/>
          </w:rPr>
          <w:t>doug.jones@nbpcd.com</w:t>
        </w:r>
      </w:hyperlink>
    </w:p>
    <w:p w:rsidR="00F02D0B" w:rsidRDefault="002B0472">
      <w:pPr>
        <w:spacing w:line="242" w:lineRule="exact"/>
        <w:ind w:left="1197" w:right="517"/>
        <w:jc w:val="center"/>
        <w:rPr>
          <w:b/>
          <w:sz w:val="20"/>
        </w:rPr>
      </w:pPr>
      <w:r>
        <w:rPr>
          <w:b/>
          <w:sz w:val="20"/>
        </w:rPr>
        <w:t xml:space="preserve"> (Tel: 416-359-7667/1-800-227-9842)</w:t>
      </w:r>
    </w:p>
    <w:p w:rsidR="00F02D0B" w:rsidRDefault="002B0472">
      <w:pPr>
        <w:pStyle w:val="BodyText"/>
        <w:spacing w:line="243" w:lineRule="exact"/>
        <w:ind w:left="1348"/>
      </w:pPr>
      <w:r>
        <w:t>1 First Canadian Place, P.O. Box 150, 4</w:t>
      </w:r>
      <w:r w:rsidR="00F92CAC">
        <w:t>0</w:t>
      </w:r>
      <w:proofErr w:type="spellStart"/>
      <w:proofErr w:type="gramStart"/>
      <w:r>
        <w:rPr>
          <w:position w:val="7"/>
          <w:sz w:val="13"/>
        </w:rPr>
        <w:t>th</w:t>
      </w:r>
      <w:proofErr w:type="spellEnd"/>
      <w:r>
        <w:rPr>
          <w:position w:val="7"/>
          <w:sz w:val="13"/>
        </w:rPr>
        <w:t xml:space="preserve">  </w:t>
      </w:r>
      <w:r>
        <w:t>Floor</w:t>
      </w:r>
      <w:proofErr w:type="gramEnd"/>
      <w:r>
        <w:t>, Toronto, Ontario M5X 1H3</w:t>
      </w:r>
    </w:p>
    <w:p w:rsidR="00F02D0B" w:rsidRDefault="00F02D0B">
      <w:pPr>
        <w:pStyle w:val="BodyText"/>
        <w:spacing w:before="3"/>
      </w:pPr>
    </w:p>
    <w:tbl>
      <w:tblPr>
        <w:tblW w:w="0" w:type="auto"/>
        <w:tblInd w:w="2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7"/>
        <w:gridCol w:w="3209"/>
      </w:tblGrid>
      <w:tr w:rsidR="00F02D0B">
        <w:trPr>
          <w:trHeight w:val="240"/>
        </w:trPr>
        <w:tc>
          <w:tcPr>
            <w:tcW w:w="2727" w:type="dxa"/>
          </w:tcPr>
          <w:p w:rsidR="00F02D0B" w:rsidRDefault="002B0472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FINS# T009</w:t>
            </w:r>
          </w:p>
        </w:tc>
        <w:tc>
          <w:tcPr>
            <w:tcW w:w="3209" w:type="dxa"/>
          </w:tcPr>
          <w:p w:rsidR="00F02D0B" w:rsidRDefault="002B0472">
            <w:pPr>
              <w:pStyle w:val="TableParagraph"/>
              <w:spacing w:line="222" w:lineRule="exact"/>
              <w:ind w:left="829"/>
              <w:rPr>
                <w:sz w:val="20"/>
              </w:rPr>
            </w:pPr>
            <w:r>
              <w:rPr>
                <w:sz w:val="20"/>
              </w:rPr>
              <w:t>DTC# 5043</w:t>
            </w:r>
          </w:p>
        </w:tc>
      </w:tr>
      <w:tr w:rsidR="00F02D0B">
        <w:trPr>
          <w:trHeight w:val="240"/>
        </w:trPr>
        <w:tc>
          <w:tcPr>
            <w:tcW w:w="2727" w:type="dxa"/>
          </w:tcPr>
          <w:p w:rsidR="00F02D0B" w:rsidRDefault="002B0472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CUID: NTDT</w:t>
            </w:r>
          </w:p>
        </w:tc>
        <w:tc>
          <w:tcPr>
            <w:tcW w:w="3209" w:type="dxa"/>
          </w:tcPr>
          <w:p w:rsidR="00F02D0B" w:rsidRDefault="002B0472">
            <w:pPr>
              <w:pStyle w:val="TableParagraph"/>
              <w:spacing w:line="222" w:lineRule="exact"/>
              <w:ind w:left="829"/>
              <w:rPr>
                <w:sz w:val="20"/>
              </w:rPr>
            </w:pPr>
            <w:r>
              <w:rPr>
                <w:sz w:val="20"/>
              </w:rPr>
              <w:t>EUROCLEAR#: 90098</w:t>
            </w:r>
          </w:p>
        </w:tc>
      </w:tr>
      <w:tr w:rsidR="00F02D0B">
        <w:trPr>
          <w:trHeight w:val="240"/>
        </w:trPr>
        <w:tc>
          <w:tcPr>
            <w:tcW w:w="2727" w:type="dxa"/>
          </w:tcPr>
          <w:p w:rsidR="00F02D0B" w:rsidRDefault="002B0472">
            <w:pPr>
              <w:pStyle w:val="TableParagraph"/>
              <w:spacing w:line="222" w:lineRule="exact"/>
              <w:ind w:left="200"/>
              <w:rPr>
                <w:sz w:val="20"/>
              </w:rPr>
            </w:pPr>
            <w:r>
              <w:rPr>
                <w:sz w:val="20"/>
              </w:rPr>
              <w:t>DEALER #: 9185</w:t>
            </w:r>
          </w:p>
        </w:tc>
        <w:tc>
          <w:tcPr>
            <w:tcW w:w="3209" w:type="dxa"/>
          </w:tcPr>
          <w:p w:rsidR="00F02D0B" w:rsidRDefault="002B0472">
            <w:pPr>
              <w:pStyle w:val="TableParagraph"/>
              <w:spacing w:line="222" w:lineRule="exact"/>
              <w:ind w:left="829"/>
              <w:rPr>
                <w:sz w:val="20"/>
              </w:rPr>
            </w:pPr>
            <w:r>
              <w:rPr>
                <w:sz w:val="20"/>
              </w:rPr>
              <w:t>REP. JKK</w:t>
            </w:r>
          </w:p>
        </w:tc>
      </w:tr>
    </w:tbl>
    <w:p w:rsidR="00F02D0B" w:rsidRDefault="00F02D0B">
      <w:pPr>
        <w:pStyle w:val="BodyText"/>
        <w:spacing w:before="1"/>
      </w:pPr>
    </w:p>
    <w:p w:rsidR="00F02D0B" w:rsidRDefault="002B0472">
      <w:pPr>
        <w:pStyle w:val="BodyText"/>
        <w:spacing w:line="243" w:lineRule="exact"/>
        <w:ind w:left="820"/>
      </w:pPr>
      <w:r>
        <w:t>c.c.   Canadian Women’s Foundation</w:t>
      </w:r>
    </w:p>
    <w:p w:rsidR="00F02D0B" w:rsidRDefault="002B0472">
      <w:pPr>
        <w:pStyle w:val="BodyText"/>
        <w:ind w:left="1360" w:right="4407"/>
      </w:pPr>
      <w:r>
        <w:t xml:space="preserve">133 Richmond Street West, Suite 504 Toronto, </w:t>
      </w:r>
      <w:proofErr w:type="gramStart"/>
      <w:r>
        <w:t>ON  M</w:t>
      </w:r>
      <w:proofErr w:type="gramEnd"/>
      <w:r>
        <w:t>5H 2L3</w:t>
      </w:r>
    </w:p>
    <w:p w:rsidR="00F02D0B" w:rsidRDefault="002B0472">
      <w:pPr>
        <w:pStyle w:val="BodyText"/>
        <w:spacing w:before="2" w:line="243" w:lineRule="exact"/>
        <w:ind w:left="1360"/>
      </w:pPr>
      <w:r>
        <w:t>Tel: (416) 365-</w:t>
      </w:r>
      <w:proofErr w:type="gramStart"/>
      <w:r>
        <w:t>1444  Fax</w:t>
      </w:r>
      <w:proofErr w:type="gramEnd"/>
      <w:r>
        <w:t>: (416) 365-1745</w:t>
      </w:r>
    </w:p>
    <w:p w:rsidR="00F02D0B" w:rsidRDefault="002B0472">
      <w:pPr>
        <w:pStyle w:val="BodyText"/>
        <w:spacing w:line="242" w:lineRule="exact"/>
        <w:ind w:left="1360"/>
      </w:pPr>
      <w:r>
        <w:t xml:space="preserve">Email: </w:t>
      </w:r>
      <w:hyperlink r:id="rId8">
        <w:r>
          <w:rPr>
            <w:color w:val="0000FF"/>
            <w:u w:val="single" w:color="0000FF"/>
          </w:rPr>
          <w:t>osvystun@canadianwomen.org</w:t>
        </w:r>
      </w:hyperlink>
    </w:p>
    <w:p w:rsidR="00F02D0B" w:rsidRDefault="002B0472">
      <w:pPr>
        <w:pStyle w:val="BodyText"/>
        <w:spacing w:line="243" w:lineRule="exact"/>
        <w:ind w:left="1360"/>
      </w:pPr>
      <w:r>
        <w:t>Charitable Registration Number: 12985-5607-RR0001</w:t>
      </w:r>
    </w:p>
    <w:sectPr w:rsidR="00F02D0B">
      <w:pgSz w:w="12240" w:h="15840"/>
      <w:pgMar w:top="500" w:right="16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A634C"/>
    <w:multiLevelType w:val="hybridMultilevel"/>
    <w:tmpl w:val="2AAEE19A"/>
    <w:lvl w:ilvl="0" w:tplc="64FE0456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A15E3B64">
      <w:numFmt w:val="bullet"/>
      <w:lvlText w:val="•"/>
      <w:lvlJc w:val="left"/>
      <w:pPr>
        <w:ind w:left="1540" w:hanging="360"/>
      </w:pPr>
      <w:rPr>
        <w:rFonts w:hint="default"/>
      </w:rPr>
    </w:lvl>
    <w:lvl w:ilvl="2" w:tplc="E9DC222C">
      <w:numFmt w:val="bullet"/>
      <w:lvlText w:val="•"/>
      <w:lvlJc w:val="left"/>
      <w:pPr>
        <w:ind w:left="2351" w:hanging="360"/>
      </w:pPr>
      <w:rPr>
        <w:rFonts w:hint="default"/>
      </w:rPr>
    </w:lvl>
    <w:lvl w:ilvl="3" w:tplc="7EC0203C">
      <w:numFmt w:val="bullet"/>
      <w:lvlText w:val="•"/>
      <w:lvlJc w:val="left"/>
      <w:pPr>
        <w:ind w:left="3162" w:hanging="360"/>
      </w:pPr>
      <w:rPr>
        <w:rFonts w:hint="default"/>
      </w:rPr>
    </w:lvl>
    <w:lvl w:ilvl="4" w:tplc="FC107B24">
      <w:numFmt w:val="bullet"/>
      <w:lvlText w:val="•"/>
      <w:lvlJc w:val="left"/>
      <w:pPr>
        <w:ind w:left="3973" w:hanging="360"/>
      </w:pPr>
      <w:rPr>
        <w:rFonts w:hint="default"/>
      </w:rPr>
    </w:lvl>
    <w:lvl w:ilvl="5" w:tplc="7BF0431E">
      <w:numFmt w:val="bullet"/>
      <w:lvlText w:val="•"/>
      <w:lvlJc w:val="left"/>
      <w:pPr>
        <w:ind w:left="4784" w:hanging="360"/>
      </w:pPr>
      <w:rPr>
        <w:rFonts w:hint="default"/>
      </w:rPr>
    </w:lvl>
    <w:lvl w:ilvl="6" w:tplc="2D686CAE">
      <w:numFmt w:val="bullet"/>
      <w:lvlText w:val="•"/>
      <w:lvlJc w:val="left"/>
      <w:pPr>
        <w:ind w:left="5595" w:hanging="360"/>
      </w:pPr>
      <w:rPr>
        <w:rFonts w:hint="default"/>
      </w:rPr>
    </w:lvl>
    <w:lvl w:ilvl="7" w:tplc="F0129A3A">
      <w:numFmt w:val="bullet"/>
      <w:lvlText w:val="•"/>
      <w:lvlJc w:val="left"/>
      <w:pPr>
        <w:ind w:left="6406" w:hanging="360"/>
      </w:pPr>
      <w:rPr>
        <w:rFonts w:hint="default"/>
      </w:rPr>
    </w:lvl>
    <w:lvl w:ilvl="8" w:tplc="4A122022">
      <w:numFmt w:val="bullet"/>
      <w:lvlText w:val="•"/>
      <w:lvlJc w:val="left"/>
      <w:pPr>
        <w:ind w:left="72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D0B"/>
    <w:rsid w:val="001C05CA"/>
    <w:rsid w:val="002B0472"/>
    <w:rsid w:val="00AD27A4"/>
    <w:rsid w:val="00B9689C"/>
    <w:rsid w:val="00F02D0B"/>
    <w:rsid w:val="00F9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2E633"/>
  <w15:docId w15:val="{9EC90F2B-8DE8-4553-956B-9EFC26B7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line="243" w:lineRule="exact"/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60" w:hanging="360"/>
    </w:p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character" w:styleId="Hyperlink">
    <w:name w:val="Hyperlink"/>
    <w:basedOn w:val="DefaultParagraphFont"/>
    <w:uiPriority w:val="99"/>
    <w:semiHidden/>
    <w:unhideWhenUsed/>
    <w:rsid w:val="00F92CA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vystun@canadianwome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oug.jones@nbpc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osvystun@canadianwomen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Non-restrictive Stock Donation Guidelines and Stock Disposition Policy</vt:lpstr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Non-restrictive Stock Donation Guidelines and Stock Disposition Policy</dc:title>
  <dc:creator>Teresa Lo</dc:creator>
  <cp:lastModifiedBy>Olga Svystun</cp:lastModifiedBy>
  <cp:revision>6</cp:revision>
  <dcterms:created xsi:type="dcterms:W3CDTF">2018-12-10T20:38:00Z</dcterms:created>
  <dcterms:modified xsi:type="dcterms:W3CDTF">2018-12-10T20:43:00Z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2017-11-20T00:00:00Z</vt:filetime>
  </property>
</Properties>
</file>